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4C" w:rsidRDefault="00907C4C" w:rsidP="00907C4C">
      <w:pPr>
        <w:pStyle w:val="3"/>
        <w:rPr>
          <w:sz w:val="28"/>
          <w:szCs w:val="28"/>
        </w:rPr>
      </w:pPr>
      <w:r>
        <w:rPr>
          <w:sz w:val="28"/>
          <w:szCs w:val="28"/>
        </w:rPr>
        <w:t>ОПЫТНОПОЛЬСКАЯ СЕЛЬСКАЯ ДУМА</w:t>
      </w:r>
    </w:p>
    <w:p w:rsidR="00907C4C" w:rsidRDefault="00907C4C" w:rsidP="00907C4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ЯРАНСКОГО РАЙОНА  КИРОВСКОЙ ОБЛАСТИ</w:t>
      </w:r>
    </w:p>
    <w:p w:rsidR="00907C4C" w:rsidRDefault="00907C4C" w:rsidP="00907C4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907C4C" w:rsidRDefault="00907C4C" w:rsidP="00907C4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7C4C" w:rsidRDefault="00907C4C" w:rsidP="00907C4C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07C4C" w:rsidRDefault="00CF5EA2" w:rsidP="00907C4C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907C4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29.11.2019</w:t>
      </w:r>
      <w:r w:rsidR="00907C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907C4C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140</w:t>
      </w:r>
    </w:p>
    <w:p w:rsidR="00907C4C" w:rsidRDefault="00907C4C" w:rsidP="00907C4C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Опытное Поле</w:t>
      </w:r>
    </w:p>
    <w:p w:rsidR="00907C4C" w:rsidRDefault="00907C4C" w:rsidP="00907C4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907C4C" w:rsidRDefault="00907C4C" w:rsidP="00907C4C">
      <w:pPr>
        <w:pStyle w:val="1"/>
        <w:spacing w:line="276" w:lineRule="auto"/>
        <w:jc w:val="center"/>
        <w:rPr>
          <w:b/>
          <w:bCs/>
          <w:sz w:val="28"/>
          <w:szCs w:val="28"/>
        </w:rPr>
      </w:pPr>
      <w:bookmarkStart w:id="0" w:name="_Toc105952706"/>
      <w:r>
        <w:rPr>
          <w:b/>
          <w:bCs/>
          <w:sz w:val="28"/>
          <w:szCs w:val="28"/>
        </w:rPr>
        <w:t>Об установлении налога на имущество физических лиц</w:t>
      </w:r>
      <w:bookmarkEnd w:id="0"/>
    </w:p>
    <w:p w:rsidR="00907C4C" w:rsidRDefault="00907C4C" w:rsidP="00907C4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907C4C" w:rsidRDefault="00907C4C" w:rsidP="00907C4C">
      <w:pPr>
        <w:pStyle w:val="a3"/>
        <w:spacing w:line="300" w:lineRule="exac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 соответствии с главой 32 части второй Налогового кодекса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04 октября 2014 года № 284-ФЗ «О внесении изменений в статьи 12 и 85 части первой и часть вторую Налогового кодекса и признании утратившими силу Закона Российской Федерации «О налогах на имущество</w:t>
      </w:r>
      <w:proofErr w:type="gramEnd"/>
      <w:r>
        <w:rPr>
          <w:color w:val="auto"/>
          <w:sz w:val="28"/>
          <w:szCs w:val="28"/>
        </w:rPr>
        <w:t xml:space="preserve"> физических лиц», Законом Кировской области от 24.09.2015 № 564-ЗО «Об установлении единой даты начала применения на территории Кировской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proofErr w:type="gramStart"/>
      <w:r>
        <w:rPr>
          <w:color w:val="auto"/>
          <w:sz w:val="28"/>
          <w:szCs w:val="28"/>
        </w:rPr>
        <w:t xml:space="preserve">руководствуясь Уставом муниципального образования Опытнопольское сельское поселение Яранского района Кировской области </w:t>
      </w:r>
      <w:proofErr w:type="spellStart"/>
      <w:r>
        <w:rPr>
          <w:color w:val="auto"/>
          <w:sz w:val="28"/>
          <w:szCs w:val="28"/>
        </w:rPr>
        <w:t>Опытнопольская</w:t>
      </w:r>
      <w:proofErr w:type="spellEnd"/>
      <w:r>
        <w:rPr>
          <w:color w:val="auto"/>
          <w:sz w:val="28"/>
          <w:szCs w:val="28"/>
        </w:rPr>
        <w:t xml:space="preserve"> сельская Дума Яранского района Кировской области </w:t>
      </w:r>
      <w:r>
        <w:rPr>
          <w:i/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РЕШИЛА</w:t>
      </w:r>
      <w:proofErr w:type="gramEnd"/>
      <w:r>
        <w:rPr>
          <w:color w:val="auto"/>
          <w:sz w:val="28"/>
          <w:szCs w:val="28"/>
        </w:rPr>
        <w:t>:</w:t>
      </w:r>
    </w:p>
    <w:p w:rsidR="00907C4C" w:rsidRDefault="00907C4C" w:rsidP="00907C4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Установить и ввести в действие с 1 января 2020 года на территории муниципального образования Опытнопольское сельское поселение Яранского района Кировской области  налог на имущество физических лиц (далее – налог).</w:t>
      </w:r>
    </w:p>
    <w:p w:rsidR="00907C4C" w:rsidRDefault="00907C4C" w:rsidP="00907C4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Установить, что налоговая база в отношении объектов налогообложения определяется исходя из их кадастровой стоимости. </w:t>
      </w:r>
    </w:p>
    <w:p w:rsidR="00907C4C" w:rsidRDefault="00907C4C" w:rsidP="00907C4C">
      <w:pPr>
        <w:pStyle w:val="s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Установить ставки налога исходя из кадастровой стоимости объекта налогообложения  в следующих размерах:</w:t>
      </w:r>
    </w:p>
    <w:p w:rsidR="00907C4C" w:rsidRDefault="00907C4C" w:rsidP="00907C4C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0,3 процента в отношении:</w:t>
      </w:r>
    </w:p>
    <w:p w:rsidR="00907C4C" w:rsidRDefault="00907C4C" w:rsidP="00907C4C">
      <w:pPr>
        <w:pStyle w:val="s1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жилых домов, частей жилых домов, квартир, частей квартир, комнат;</w:t>
      </w:r>
    </w:p>
    <w:p w:rsidR="00907C4C" w:rsidRDefault="00907C4C" w:rsidP="00907C4C">
      <w:pPr>
        <w:pStyle w:val="s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907C4C" w:rsidRDefault="00907C4C" w:rsidP="00907C4C">
      <w:pPr>
        <w:pStyle w:val="s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единых недвижимых комплексов, в состав которых входит хотя бы один жилой дом;</w:t>
      </w:r>
    </w:p>
    <w:p w:rsidR="00907C4C" w:rsidRDefault="00907C4C" w:rsidP="00907C4C">
      <w:pPr>
        <w:pStyle w:val="s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гаражей и </w:t>
      </w:r>
      <w:proofErr w:type="spellStart"/>
      <w:r>
        <w:rPr>
          <w:color w:val="000000"/>
          <w:sz w:val="28"/>
          <w:szCs w:val="28"/>
        </w:rPr>
        <w:t>машино-мест</w:t>
      </w:r>
      <w:proofErr w:type="spellEnd"/>
      <w:r>
        <w:rPr>
          <w:color w:val="000000"/>
          <w:sz w:val="28"/>
          <w:szCs w:val="28"/>
        </w:rPr>
        <w:t>;</w:t>
      </w:r>
    </w:p>
    <w:p w:rsidR="00907C4C" w:rsidRDefault="00907C4C" w:rsidP="00907C4C">
      <w:pPr>
        <w:pStyle w:val="s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</w:t>
      </w:r>
      <w:r>
        <w:rPr>
          <w:color w:val="000000"/>
          <w:sz w:val="28"/>
          <w:szCs w:val="28"/>
        </w:rPr>
        <w:lastRenderedPageBreak/>
        <w:t>огородничества, садоводства или индивидуального жилищного строительства;</w:t>
      </w:r>
    </w:p>
    <w:p w:rsidR="00907C4C" w:rsidRDefault="00907C4C" w:rsidP="00907C4C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0,3  процента в отношении:</w:t>
      </w:r>
    </w:p>
    <w:p w:rsidR="00907C4C" w:rsidRDefault="00907C4C" w:rsidP="00907C4C">
      <w:pPr>
        <w:pStyle w:val="ConsPlusNormal0"/>
        <w:spacing w:line="300" w:lineRule="exact"/>
        <w:ind w:firstLine="851"/>
        <w:jc w:val="both"/>
      </w:pPr>
      <w: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907C4C" w:rsidRDefault="00907C4C" w:rsidP="00907C4C">
      <w:pPr>
        <w:pStyle w:val="ConsPlusNormal0"/>
        <w:spacing w:line="300" w:lineRule="exact"/>
        <w:ind w:firstLine="851"/>
        <w:jc w:val="both"/>
      </w:pPr>
      <w:r>
        <w:t>б)  объектов налогообложения, предусмотренных абзацем вторым пункта 10 статьи 378.2  Налогового кодекса Российской Федерации;</w:t>
      </w:r>
    </w:p>
    <w:p w:rsidR="00907C4C" w:rsidRPr="00907C4C" w:rsidRDefault="00907C4C" w:rsidP="00907C4C">
      <w:pPr>
        <w:pStyle w:val="ConsPlusNormal0"/>
        <w:spacing w:line="300" w:lineRule="exact"/>
        <w:ind w:firstLine="709"/>
        <w:jc w:val="both"/>
      </w:pPr>
      <w:r>
        <w:t xml:space="preserve">3) </w:t>
      </w:r>
      <w:r w:rsidRPr="00907C4C">
        <w:t>2 процента в отношении объектов налогообложения, кадастровая стоимость каждого из которых превышает 300 миллионов рублей;</w:t>
      </w:r>
    </w:p>
    <w:p w:rsidR="00907C4C" w:rsidRDefault="00907C4C" w:rsidP="00907C4C">
      <w:pPr>
        <w:pStyle w:val="ConsPlusNormal0"/>
        <w:spacing w:line="300" w:lineRule="exact"/>
        <w:ind w:firstLine="709"/>
        <w:jc w:val="both"/>
      </w:pPr>
      <w:r w:rsidRPr="00907C4C">
        <w:t>4) 0,5</w:t>
      </w:r>
      <w:r>
        <w:t xml:space="preserve"> процента в отношении прочих объектов налогообложения.   </w:t>
      </w:r>
    </w:p>
    <w:p w:rsidR="00907C4C" w:rsidRDefault="00907C4C" w:rsidP="00907C4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Установить, что для граждан, имеющих в собственности имущество, являющееся объектом налогообложения на территории Опытнопольского сельского поселения, налоговые льготы установлены статьей 407 Налогового кодекса Российской Федерации действуют в полном объеме.</w:t>
      </w:r>
    </w:p>
    <w:p w:rsidR="00907C4C" w:rsidRDefault="00907C4C" w:rsidP="00907C4C">
      <w:pPr>
        <w:tabs>
          <w:tab w:val="left" w:pos="-324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Признать утратившими силу: </w:t>
      </w:r>
    </w:p>
    <w:p w:rsidR="00907C4C" w:rsidRDefault="00907C4C" w:rsidP="00907C4C">
      <w:pPr>
        <w:tabs>
          <w:tab w:val="left" w:pos="-324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 решение Опытнопольской сельской Думы от 23.11.2015 № 128 «Об установлении налога на имущество физических лиц»;</w:t>
      </w:r>
    </w:p>
    <w:p w:rsidR="00907C4C" w:rsidRDefault="00907C4C" w:rsidP="00907C4C">
      <w:pPr>
        <w:tabs>
          <w:tab w:val="left" w:pos="-324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 решения Опытнопольской сельской Думы от 17.12.2018 № 84 «О внесении изменений в решение Опытнопольской сельской думы от 23.11.2015 № 128 «Об установлении налога на имущество физических лиц».</w:t>
      </w:r>
    </w:p>
    <w:p w:rsidR="00907C4C" w:rsidRDefault="00907C4C" w:rsidP="00907C4C">
      <w:pPr>
        <w:tabs>
          <w:tab w:val="left" w:pos="-324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Опубликовать настоящее решение в Информационном бюллетене органов местного самоуправления Опытнопольского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907C4C" w:rsidRDefault="00907C4C" w:rsidP="00907C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7. Настоящее решение вступает в силу </w:t>
      </w:r>
      <w:r>
        <w:rPr>
          <w:rFonts w:eastAsia="Calibri"/>
          <w:color w:val="000000"/>
          <w:sz w:val="28"/>
          <w:szCs w:val="28"/>
          <w:lang w:val="ru-RU"/>
        </w:rPr>
        <w:t>с 01.01.2020 года и не ранее чем по истечении одного месяца со дня его официального опубликования.</w:t>
      </w:r>
    </w:p>
    <w:p w:rsidR="00907C4C" w:rsidRDefault="00907C4C" w:rsidP="00907C4C">
      <w:pPr>
        <w:pStyle w:val="31"/>
      </w:pPr>
    </w:p>
    <w:p w:rsidR="00907C4C" w:rsidRDefault="00907C4C" w:rsidP="00907C4C">
      <w:pPr>
        <w:rPr>
          <w:sz w:val="28"/>
          <w:szCs w:val="28"/>
          <w:lang w:val="ru-RU"/>
        </w:rPr>
      </w:pPr>
    </w:p>
    <w:p w:rsidR="00907C4C" w:rsidRDefault="00907C4C" w:rsidP="00907C4C">
      <w:pPr>
        <w:rPr>
          <w:sz w:val="28"/>
          <w:szCs w:val="28"/>
          <w:lang w:val="ru-RU"/>
        </w:rPr>
      </w:pPr>
    </w:p>
    <w:p w:rsidR="00907C4C" w:rsidRDefault="00907C4C" w:rsidP="00907C4C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Опытнопольского </w:t>
      </w:r>
    </w:p>
    <w:p w:rsidR="00907C4C" w:rsidRDefault="00907C4C" w:rsidP="00907C4C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                          И. А. Бусыгина</w:t>
      </w:r>
    </w:p>
    <w:p w:rsidR="00C87046" w:rsidRPr="00907C4C" w:rsidRDefault="00C87046">
      <w:pPr>
        <w:rPr>
          <w:lang w:val="ru-RU"/>
        </w:rPr>
      </w:pPr>
    </w:p>
    <w:sectPr w:rsidR="00C87046" w:rsidRPr="00907C4C" w:rsidSect="00C8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C4C"/>
    <w:rsid w:val="002C3568"/>
    <w:rsid w:val="006F7C87"/>
    <w:rsid w:val="00907C4C"/>
    <w:rsid w:val="00997751"/>
    <w:rsid w:val="00C87046"/>
    <w:rsid w:val="00C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4C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97751"/>
    <w:pPr>
      <w:keepNext/>
      <w:outlineLvl w:val="0"/>
    </w:pPr>
    <w:rPr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997751"/>
    <w:pPr>
      <w:keepNext/>
      <w:outlineLvl w:val="1"/>
    </w:pPr>
    <w:rPr>
      <w:sz w:val="26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97751"/>
    <w:pPr>
      <w:keepNext/>
      <w:spacing w:line="360" w:lineRule="auto"/>
      <w:jc w:val="center"/>
      <w:outlineLvl w:val="2"/>
    </w:pPr>
    <w:rPr>
      <w:b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997751"/>
    <w:pPr>
      <w:keepNext/>
      <w:ind w:left="5760"/>
      <w:outlineLvl w:val="3"/>
    </w:pPr>
    <w:rPr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997751"/>
    <w:pPr>
      <w:keepNext/>
      <w:jc w:val="center"/>
      <w:outlineLvl w:val="4"/>
    </w:pPr>
    <w:rPr>
      <w:b/>
      <w:bCs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997751"/>
    <w:pPr>
      <w:keepNext/>
      <w:jc w:val="both"/>
      <w:outlineLvl w:val="5"/>
    </w:pPr>
    <w:rPr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97751"/>
    <w:rPr>
      <w:sz w:val="24"/>
    </w:rPr>
  </w:style>
  <w:style w:type="character" w:customStyle="1" w:styleId="20">
    <w:name w:val="Заголовок 2 Знак"/>
    <w:basedOn w:val="a0"/>
    <w:link w:val="2"/>
    <w:rsid w:val="00997751"/>
    <w:rPr>
      <w:sz w:val="26"/>
    </w:rPr>
  </w:style>
  <w:style w:type="character" w:customStyle="1" w:styleId="30">
    <w:name w:val="Заголовок 3 Знак"/>
    <w:basedOn w:val="a0"/>
    <w:link w:val="3"/>
    <w:rsid w:val="00997751"/>
    <w:rPr>
      <w:b/>
      <w:sz w:val="24"/>
    </w:rPr>
  </w:style>
  <w:style w:type="character" w:customStyle="1" w:styleId="40">
    <w:name w:val="Заголовок 4 Знак"/>
    <w:basedOn w:val="a0"/>
    <w:link w:val="4"/>
    <w:rsid w:val="00997751"/>
    <w:rPr>
      <w:sz w:val="24"/>
    </w:rPr>
  </w:style>
  <w:style w:type="character" w:customStyle="1" w:styleId="50">
    <w:name w:val="Заголовок 5 Знак"/>
    <w:basedOn w:val="a0"/>
    <w:link w:val="5"/>
    <w:rsid w:val="00997751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997751"/>
    <w:rPr>
      <w:color w:val="000000"/>
      <w:sz w:val="24"/>
    </w:rPr>
  </w:style>
  <w:style w:type="paragraph" w:styleId="a3">
    <w:name w:val="Body Text Indent"/>
    <w:basedOn w:val="a"/>
    <w:link w:val="a4"/>
    <w:semiHidden/>
    <w:unhideWhenUsed/>
    <w:rsid w:val="00907C4C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07C4C"/>
    <w:rPr>
      <w:color w:val="333399"/>
      <w:szCs w:val="24"/>
    </w:rPr>
  </w:style>
  <w:style w:type="paragraph" w:styleId="31">
    <w:name w:val="Body Text Indent 3"/>
    <w:basedOn w:val="a"/>
    <w:link w:val="32"/>
    <w:semiHidden/>
    <w:unhideWhenUsed/>
    <w:rsid w:val="00907C4C"/>
    <w:pPr>
      <w:tabs>
        <w:tab w:val="left" w:pos="-3240"/>
      </w:tabs>
      <w:ind w:firstLine="709"/>
      <w:jc w:val="both"/>
    </w:pPr>
    <w:rPr>
      <w:sz w:val="28"/>
      <w:szCs w:val="28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907C4C"/>
    <w:rPr>
      <w:sz w:val="28"/>
      <w:szCs w:val="28"/>
      <w:lang w:eastAsia="en-US"/>
    </w:rPr>
  </w:style>
  <w:style w:type="paragraph" w:customStyle="1" w:styleId="ConsTitle">
    <w:name w:val="ConsTitle"/>
    <w:rsid w:val="00907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locked/>
    <w:rsid w:val="00907C4C"/>
    <w:rPr>
      <w:sz w:val="28"/>
      <w:szCs w:val="28"/>
      <w:lang w:eastAsia="en-US"/>
    </w:rPr>
  </w:style>
  <w:style w:type="paragraph" w:customStyle="1" w:styleId="ConsPlusNormal0">
    <w:name w:val="ConsPlusNormal"/>
    <w:link w:val="ConsPlusNormal"/>
    <w:qFormat/>
    <w:rsid w:val="00907C4C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s1">
    <w:name w:val="s_1"/>
    <w:basedOn w:val="a"/>
    <w:rsid w:val="00907C4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2019-11-28T13:45:00Z</dcterms:created>
  <dcterms:modified xsi:type="dcterms:W3CDTF">2019-11-28T13:46:00Z</dcterms:modified>
</cp:coreProperties>
</file>